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58" w:rsidRPr="004F7F51" w:rsidRDefault="00101A58" w:rsidP="004F7F51">
      <w:pPr>
        <w:pStyle w:val="naisnod"/>
        <w:spacing w:before="0" w:beforeAutospacing="0" w:after="0" w:afterAutospacing="0"/>
        <w:rPr>
          <w:bCs w:val="0"/>
        </w:rPr>
      </w:pPr>
      <w:bookmarkStart w:id="0" w:name="OLE_LINK1"/>
      <w:bookmarkStart w:id="1" w:name="OLE_LINK2"/>
      <w:bookmarkStart w:id="2" w:name="OLE_LINK7"/>
      <w:bookmarkStart w:id="3" w:name="_GoBack"/>
      <w:bookmarkEnd w:id="3"/>
      <w:r w:rsidRPr="004F7F51">
        <w:rPr>
          <w:bCs w:val="0"/>
        </w:rPr>
        <w:t>Ministru kabineta noteikumu projekta</w:t>
      </w:r>
      <w:r w:rsidR="004F7F51" w:rsidRPr="004F7F51">
        <w:rPr>
          <w:bCs w:val="0"/>
        </w:rPr>
        <w:t xml:space="preserve"> „</w:t>
      </w:r>
      <w:r w:rsidR="004F7F51" w:rsidRPr="004F7F51">
        <w:rPr>
          <w:rFonts w:eastAsia="Times New Roman"/>
          <w:bCs w:val="0"/>
          <w:lang w:eastAsia="lv-LV"/>
        </w:rPr>
        <w:t xml:space="preserve">Kārtība un vērtēšanas nosacījumi valsts un pašvaldību izglītības iestāžu (izņemot augstskolas un koledžas) vadītāju un pašvaldību izglītības pārvalžu vadītāju amatu pretendentu atlasei” </w:t>
      </w:r>
      <w:r w:rsidRPr="004F7F51">
        <w:rPr>
          <w:bCs w:val="0"/>
        </w:rPr>
        <w:t>sākotnējās ietekmes  novērtējuma ziņojums (anotācija)</w:t>
      </w:r>
    </w:p>
    <w:bookmarkEnd w:id="0"/>
    <w:bookmarkEnd w:id="1"/>
    <w:bookmarkEnd w:id="2"/>
    <w:p w:rsidR="00101A58" w:rsidRPr="00AF66B2" w:rsidRDefault="00101A58" w:rsidP="00101A58">
      <w:pPr>
        <w:spacing w:before="50" w:after="50"/>
        <w:jc w:val="center"/>
      </w:pPr>
      <w:r w:rsidRPr="00AF66B2">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
        <w:gridCol w:w="2997"/>
        <w:gridCol w:w="5790"/>
      </w:tblGrid>
      <w:tr w:rsidR="00101A58" w:rsidRPr="00AF66B2" w:rsidTr="0014344E">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101A58" w:rsidRPr="00AF66B2" w:rsidRDefault="00101A58" w:rsidP="0014344E">
            <w:pPr>
              <w:spacing w:before="50" w:after="50"/>
              <w:jc w:val="center"/>
            </w:pPr>
            <w:r w:rsidRPr="00AF66B2">
              <w:rPr>
                <w:b/>
                <w:bCs/>
              </w:rPr>
              <w:t> I. Tiesību akta projekta izstrādes nepieciešamība</w:t>
            </w:r>
          </w:p>
        </w:tc>
      </w:tr>
      <w:tr w:rsidR="00101A58" w:rsidRPr="00AF66B2" w:rsidTr="006743DA">
        <w:trPr>
          <w:trHeight w:val="630"/>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AF66B2" w:rsidRDefault="00101A58" w:rsidP="0014344E">
            <w:pPr>
              <w:spacing w:before="50" w:after="50"/>
            </w:pPr>
            <w:r w:rsidRPr="00AF66B2">
              <w:t> 1.</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AF66B2" w:rsidRDefault="00101A58" w:rsidP="0014344E">
            <w:pPr>
              <w:spacing w:before="50" w:after="50"/>
              <w:jc w:val="left"/>
            </w:pPr>
            <w:r w:rsidRPr="00AF66B2">
              <w:t>Pamatojums</w:t>
            </w:r>
          </w:p>
        </w:tc>
        <w:tc>
          <w:tcPr>
            <w:tcW w:w="317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E267E" w:rsidRDefault="004F7F51" w:rsidP="006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33F9">
              <w:rPr>
                <w:lang w:eastAsia="lv-LV"/>
              </w:rPr>
              <w:t>Ministru kabin</w:t>
            </w:r>
            <w:r>
              <w:rPr>
                <w:lang w:eastAsia="lv-LV"/>
              </w:rPr>
              <w:t>eta noteikumu projekts „Kārtība un vērtēšanas nosacījumi valsts un pašvaldību izglītības iestāžu (izņemot augstskolas un koledžas) vadītāju un pašvaldību izglītības pārvalžu vadītāju amatu pretendentu atlasei</w:t>
            </w:r>
            <w:r w:rsidRPr="005533F9">
              <w:rPr>
                <w:lang w:eastAsia="lv-LV"/>
              </w:rPr>
              <w:t>”</w:t>
            </w:r>
            <w:r w:rsidRPr="005533F9">
              <w:t> (turpmāk – noteikumu projekts)</w:t>
            </w:r>
            <w:r>
              <w:t xml:space="preserve"> </w:t>
            </w:r>
            <w:r w:rsidRPr="005533F9">
              <w:t xml:space="preserve">izstrādāts saskaņā ar Izglītības </w:t>
            </w:r>
            <w:r>
              <w:t>likuma 14.panta 12</w:t>
            </w:r>
            <w:r w:rsidRPr="005533F9">
              <w:t>.</w:t>
            </w:r>
            <w:r>
              <w:rPr>
                <w:vertAlign w:val="superscript"/>
              </w:rPr>
              <w:t>2</w:t>
            </w:r>
            <w:r w:rsidRPr="005533F9">
              <w:t>punktu</w:t>
            </w:r>
            <w:r w:rsidR="006743DA">
              <w:t>.</w:t>
            </w:r>
            <w:r w:rsidRPr="005533F9">
              <w:t xml:space="preserve"> </w:t>
            </w:r>
          </w:p>
          <w:p w:rsidR="006743DA" w:rsidRPr="004313B3" w:rsidRDefault="006743DA" w:rsidP="006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101A58" w:rsidRPr="00AF66B2" w:rsidTr="006743DA">
        <w:trPr>
          <w:trHeight w:val="472"/>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AF66B2" w:rsidRDefault="00101A58" w:rsidP="0014344E">
            <w:pPr>
              <w:spacing w:before="50" w:after="50"/>
            </w:pPr>
            <w:r w:rsidRPr="00AF66B2">
              <w:t> 2.</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AF66B2" w:rsidRDefault="00101A58" w:rsidP="0014344E">
            <w:pPr>
              <w:spacing w:before="50" w:after="50"/>
              <w:jc w:val="left"/>
            </w:pPr>
            <w:r w:rsidRPr="00AF66B2">
              <w:t>Pašreizējā situācija un problēmas</w:t>
            </w:r>
            <w:r w:rsidR="00B53406">
              <w:t>, kuru risināšanai tiesību akta projekts izstrādāts, tiesiskā regulējuma mērķis un būtība</w:t>
            </w:r>
          </w:p>
        </w:tc>
        <w:tc>
          <w:tcPr>
            <w:tcW w:w="317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85847" w:rsidRDefault="004F7F51" w:rsidP="00E160F8">
            <w:pPr>
              <w:pStyle w:val="naislab"/>
              <w:spacing w:before="0" w:beforeAutospacing="0" w:after="0" w:afterAutospacing="0"/>
              <w:jc w:val="both"/>
            </w:pPr>
            <w:r w:rsidRPr="005533F9">
              <w:rPr>
                <w:lang w:eastAsia="lv-LV"/>
              </w:rPr>
              <w:t xml:space="preserve">Izglītības likuma 14.panta </w:t>
            </w:r>
            <w:r w:rsidR="00E160F8">
              <w:t>12</w:t>
            </w:r>
            <w:r w:rsidRPr="005533F9">
              <w:t>.</w:t>
            </w:r>
            <w:r w:rsidR="00E160F8">
              <w:rPr>
                <w:vertAlign w:val="superscript"/>
              </w:rPr>
              <w:t>2</w:t>
            </w:r>
            <w:r w:rsidRPr="005533F9">
              <w:t xml:space="preserve">punkts nosaka </w:t>
            </w:r>
            <w:r>
              <w:t>deleģējumu Ministru kabinetam izdot Ministru kabineta noteikumus</w:t>
            </w:r>
            <w:r w:rsidRPr="005533F9">
              <w:t xml:space="preserve">, </w:t>
            </w:r>
            <w:r>
              <w:t xml:space="preserve">lai noteiktu </w:t>
            </w:r>
            <w:r w:rsidR="00E160F8">
              <w:t xml:space="preserve">kārtību un vērtēšanas nosacījumus valsts un pašvaldību izglītības iestāžu (izņemot augstskolas un koledžas) vadītāju un pašvaldību izglītības pārvalžu vadītāju amatu pretendentu atlasei. </w:t>
            </w:r>
          </w:p>
          <w:p w:rsidR="00E160F8" w:rsidRDefault="003D6B74" w:rsidP="00E160F8">
            <w:pPr>
              <w:pStyle w:val="naislab"/>
              <w:spacing w:before="0" w:beforeAutospacing="0" w:after="0" w:afterAutospacing="0"/>
              <w:jc w:val="both"/>
            </w:pPr>
            <w:r>
              <w:t>V</w:t>
            </w:r>
            <w:r w:rsidR="004F7F51">
              <w:t xml:space="preserve">alstī nav noteikta </w:t>
            </w:r>
            <w:r w:rsidR="00944A84">
              <w:t xml:space="preserve">vienota </w:t>
            </w:r>
            <w:r w:rsidR="004F7F51">
              <w:t>kārtība</w:t>
            </w:r>
            <w:r w:rsidR="00574486">
              <w:t xml:space="preserve"> konkursa rīkošanai</w:t>
            </w:r>
            <w:r w:rsidR="00A71576">
              <w:t xml:space="preserve"> valsts un pašvaldību izglītības iestāžu vadītāju un pašvaldību izglītības pārvalžu vadītāju amatu pretendentu </w:t>
            </w:r>
            <w:r w:rsidR="00944A84">
              <w:t>atlase</w:t>
            </w:r>
            <w:r w:rsidR="007972F9">
              <w:t>i</w:t>
            </w:r>
            <w:r w:rsidR="00944A84">
              <w:t>.</w:t>
            </w:r>
          </w:p>
          <w:p w:rsidR="006743DA" w:rsidRDefault="006743DA" w:rsidP="00E160F8">
            <w:pPr>
              <w:pStyle w:val="naislab"/>
              <w:spacing w:before="0" w:beforeAutospacing="0" w:after="0" w:afterAutospacing="0"/>
              <w:jc w:val="both"/>
            </w:pPr>
            <w:r>
              <w:t>Tiesību akta projekta mērķis ir noteikt vienotu, pārskatāmu un objektīvu pretendentu atlases kārtību.</w:t>
            </w:r>
          </w:p>
          <w:p w:rsidR="00016F63" w:rsidRDefault="008D202A" w:rsidP="00E160F8">
            <w:pPr>
              <w:pStyle w:val="naislab"/>
              <w:spacing w:before="0" w:beforeAutospacing="0" w:after="0" w:afterAutospacing="0"/>
              <w:jc w:val="both"/>
            </w:pPr>
            <w:r>
              <w:t>D</w:t>
            </w:r>
            <w:r w:rsidR="00164817">
              <w:t>eleģējumā noteiktaj</w:t>
            </w:r>
            <w:r w:rsidR="00A22F62">
              <w:t>ai</w:t>
            </w:r>
            <w:r w:rsidR="00164817">
              <w:t xml:space="preserve"> grup</w:t>
            </w:r>
            <w:r>
              <w:t>ai</w:t>
            </w:r>
            <w:r w:rsidR="00164817">
              <w:t xml:space="preserve"> – valsts un pašvaldību  izglītības iestāžu vadītājiem</w:t>
            </w:r>
            <w:r w:rsidR="00A22F62">
              <w:t xml:space="preserve"> –</w:t>
            </w:r>
            <w:r w:rsidR="00164817">
              <w:t xml:space="preserve"> </w:t>
            </w:r>
            <w:r>
              <w:t xml:space="preserve">prasības </w:t>
            </w:r>
            <w:r w:rsidR="00164817">
              <w:t>nosaka Izglītības likums, Bērnu tiesību aizsardzības likums, kā arī Ministru kabineta 2.jūlija noteikumi Nr.363 “</w:t>
            </w:r>
            <w:r w:rsidR="00164817" w:rsidRPr="00827A79">
              <w:rPr>
                <w:rFonts w:eastAsia="Times New Roman"/>
                <w:lang w:eastAsia="lv-LV"/>
              </w:rPr>
              <w:t>Noteikumi par pedagogiem nepieciešamo izglītību un profesionālo kvalifikāciju un pedagogu profesionālās kvalifikācijas pilnveides kārtību</w:t>
            </w:r>
            <w:r w:rsidR="00164817">
              <w:t xml:space="preserve">”. </w:t>
            </w:r>
            <w:r>
              <w:t xml:space="preserve">Savukārt  pašvaldību izglītības pārvalžu vadītājiem prasības noteiktas Izglītības likumā. </w:t>
            </w:r>
            <w:r w:rsidR="00164817">
              <w:t>Nozīmīgi nosacījumi ir arī pedagoģiskā darba pieredze izglītības jomā vai izglītības vadības darbā, kā arī valodu prasmes.</w:t>
            </w:r>
          </w:p>
          <w:p w:rsidR="00A22F62" w:rsidRDefault="00016F63" w:rsidP="00E160F8">
            <w:pPr>
              <w:pStyle w:val="naislab"/>
              <w:spacing w:before="0" w:beforeAutospacing="0" w:after="0" w:afterAutospacing="0"/>
              <w:jc w:val="both"/>
            </w:pPr>
            <w:r>
              <w:t xml:space="preserve">Ņemot vērā izglītības iestāžu dažādību izglītības pakāpju un nozaru ziņā, ir atstāta iespēja dibinātājam noteikt </w:t>
            </w:r>
            <w:r w:rsidR="00A22F62">
              <w:t>pretendentu vērtēšanas metodiku.</w:t>
            </w:r>
          </w:p>
          <w:p w:rsidR="00164817" w:rsidRDefault="00A22F62" w:rsidP="00E160F8">
            <w:pPr>
              <w:pStyle w:val="naislab"/>
              <w:spacing w:before="0" w:beforeAutospacing="0" w:after="0" w:afterAutospacing="0"/>
              <w:jc w:val="both"/>
            </w:pPr>
            <w:r>
              <w:t>Noteikumu projekts nosaka arī vērtēšanas nosacījumus, konkursa pretendentu atlasei izsludināšanas kārtību, pieteikšanās termiņu, kā arī gadījumus, kad izsludināms atkārtots konkurss.</w:t>
            </w:r>
          </w:p>
          <w:p w:rsidR="001D548F" w:rsidRPr="00AF66B2" w:rsidRDefault="001D548F" w:rsidP="00E160F8">
            <w:pPr>
              <w:pStyle w:val="naislab"/>
              <w:spacing w:before="0" w:beforeAutospacing="0" w:after="0" w:afterAutospacing="0"/>
              <w:jc w:val="both"/>
            </w:pPr>
          </w:p>
        </w:tc>
      </w:tr>
      <w:tr w:rsidR="00B53406" w:rsidRPr="00AF66B2" w:rsidTr="006743DA">
        <w:trPr>
          <w:trHeight w:val="979"/>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AF66B2" w:rsidRDefault="00B53406" w:rsidP="0014344E">
            <w:pPr>
              <w:spacing w:before="50" w:after="50"/>
            </w:pPr>
            <w:r>
              <w:t>3.</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AF66B2" w:rsidRDefault="00B53406" w:rsidP="0014344E">
            <w:pPr>
              <w:spacing w:before="50" w:after="50"/>
              <w:jc w:val="left"/>
            </w:pPr>
            <w:r>
              <w:t>Projekta izstrādē iesaistītās institūcijas</w:t>
            </w:r>
          </w:p>
        </w:tc>
        <w:tc>
          <w:tcPr>
            <w:tcW w:w="317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AF66B2" w:rsidRDefault="00B53406" w:rsidP="006743DA">
            <w:pPr>
              <w:spacing w:before="50" w:after="50"/>
            </w:pPr>
            <w:r w:rsidRPr="00AF66B2">
              <w:t xml:space="preserve">Izglītības un zinātnes ministrija, </w:t>
            </w:r>
            <w:r w:rsidRPr="00AF66B2">
              <w:rPr>
                <w:iCs/>
              </w:rPr>
              <w:t xml:space="preserve">Izglītības kvalitātes valsts dienests, </w:t>
            </w:r>
            <w:r>
              <w:t>Valsts izglītības satura centrs, Latvijas Izglītības un zinātnes darbinieku arodbiedrība, Latvijas I</w:t>
            </w:r>
            <w:r w:rsidRPr="00185DFB">
              <w:t xml:space="preserve">zglītības </w:t>
            </w:r>
            <w:r w:rsidRPr="00185DFB">
              <w:lastRenderedPageBreak/>
              <w:t>vadītāju asociācija</w:t>
            </w:r>
            <w:r w:rsidR="006743DA">
              <w:t>, Latvijas Kultūras ministrija, Latvijas Lielo pilsētu asociācija.</w:t>
            </w:r>
          </w:p>
        </w:tc>
      </w:tr>
      <w:tr w:rsidR="00B53406" w:rsidRPr="00AF66B2" w:rsidTr="006743DA">
        <w:trPr>
          <w:trHeight w:val="979"/>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AF66B2" w:rsidRDefault="00B53406" w:rsidP="0014344E">
            <w:pPr>
              <w:spacing w:before="50" w:after="50"/>
            </w:pPr>
            <w:r>
              <w:lastRenderedPageBreak/>
              <w:t>4.</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AF66B2" w:rsidRDefault="00B53406" w:rsidP="0014344E">
            <w:pPr>
              <w:spacing w:before="50" w:after="50"/>
              <w:jc w:val="left"/>
            </w:pPr>
            <w:r>
              <w:t>Cita informācija</w:t>
            </w:r>
          </w:p>
        </w:tc>
        <w:tc>
          <w:tcPr>
            <w:tcW w:w="317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7C7DAD" w:rsidRDefault="007C7DAD" w:rsidP="007C7DAD">
            <w:pPr>
              <w:spacing w:before="50" w:after="50"/>
            </w:pPr>
            <w:r w:rsidRPr="007C7DAD">
              <w:t>Izglītības likuma 18.panta pirmajā daļā noteikts, ka</w:t>
            </w:r>
            <w:r w:rsidR="00F102C2">
              <w:t>,</w:t>
            </w:r>
            <w:r w:rsidRPr="007C7DAD">
              <w:t xml:space="preserve"> lai</w:t>
            </w:r>
            <w:r w:rsidRPr="004D3179">
              <w:t xml:space="preserve"> īstenotu savas funkcijas izglītības jomā, pašvaldība izveido vismaz vienu izglītības speciālista amatu vai izglītības pārvaldes iestādi. Izglītības speciālistam un izglītības pārvaldes iestādes vadītājam ir nepieciešama akadēmiskā izglītība vai otrā līmeņa profesionālā augstākā izglītība un vismaz triju gadu darba pieredze izglītības jomā vai izglītības vadības darbā</w:t>
            </w:r>
            <w:r w:rsidR="00F102C2" w:rsidRPr="00F102C2">
              <w:t>. T</w:t>
            </w:r>
            <w:r w:rsidR="00F102C2">
              <w:t>ādējādi</w:t>
            </w:r>
            <w:r w:rsidRPr="004D3179">
              <w:t xml:space="preserve"> ir ieteicams noteikumu projekta nosacījumus piemērot, pieņemot darbā arī pašvaldības izglītības speciālistu. </w:t>
            </w:r>
            <w:r w:rsidRPr="007C7DAD">
              <w:t xml:space="preserve"> </w:t>
            </w:r>
          </w:p>
        </w:tc>
      </w:tr>
    </w:tbl>
    <w:p w:rsidR="00101A58" w:rsidRPr="00AF66B2" w:rsidRDefault="00101A58" w:rsidP="00101A58">
      <w:pPr>
        <w:spacing w:before="50" w:after="50"/>
        <w:ind w:firstLine="250"/>
      </w:pPr>
      <w:r w:rsidRPr="00AF66B2">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2808"/>
        <w:gridCol w:w="5734"/>
      </w:tblGrid>
      <w:tr w:rsidR="00101A58" w:rsidRPr="00AF66B2" w:rsidTr="00193C47">
        <w:trPr>
          <w:tblCellSpacing w:w="0" w:type="dxa"/>
        </w:trPr>
        <w:tc>
          <w:tcPr>
            <w:tcW w:w="9390" w:type="dxa"/>
            <w:gridSpan w:val="3"/>
            <w:tcBorders>
              <w:top w:val="outset" w:sz="6" w:space="0" w:color="auto"/>
              <w:left w:val="outset" w:sz="6" w:space="0" w:color="auto"/>
              <w:bottom w:val="outset" w:sz="6" w:space="0" w:color="auto"/>
              <w:right w:val="outset" w:sz="6" w:space="0" w:color="auto"/>
            </w:tcBorders>
            <w:vAlign w:val="center"/>
            <w:hideMark/>
          </w:tcPr>
          <w:p w:rsidR="00101A58" w:rsidRPr="00AF66B2" w:rsidRDefault="00101A58" w:rsidP="0014344E">
            <w:pPr>
              <w:spacing w:before="100" w:after="100"/>
              <w:jc w:val="center"/>
              <w:rPr>
                <w:b/>
                <w:bCs/>
              </w:rPr>
            </w:pPr>
            <w:r w:rsidRPr="00AF66B2">
              <w:rPr>
                <w:b/>
                <w:bCs/>
              </w:rPr>
              <w:t> II. Tiesību akta projekta ietekme uz sabiedrību</w:t>
            </w:r>
            <w:r w:rsidR="00B53406">
              <w:rPr>
                <w:b/>
                <w:bCs/>
              </w:rPr>
              <w:t>, tautsaimniecība attīstību un administratīvo slogu</w:t>
            </w:r>
          </w:p>
        </w:tc>
      </w:tr>
      <w:tr w:rsidR="00E921E7" w:rsidRPr="00AF66B2" w:rsidTr="006743DA">
        <w:trPr>
          <w:trHeight w:val="467"/>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1.</w:t>
            </w:r>
          </w:p>
        </w:tc>
        <w:tc>
          <w:tcPr>
            <w:tcW w:w="2886"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Sabiedrības mērķgrupa</w:t>
            </w:r>
            <w:r w:rsidR="00B53406">
              <w:t xml:space="preserve">s, kuras </w:t>
            </w:r>
            <w:r w:rsidR="00193C47">
              <w:t>tiesiskais</w:t>
            </w:r>
            <w:r w:rsidR="00B53406">
              <w:t xml:space="preserve"> regulējums ietekmē vai varētu ietekmēt</w:t>
            </w:r>
          </w:p>
        </w:tc>
        <w:tc>
          <w:tcPr>
            <w:tcW w:w="5973" w:type="dxa"/>
            <w:tcBorders>
              <w:top w:val="outset" w:sz="6" w:space="0" w:color="auto"/>
              <w:left w:val="outset" w:sz="6" w:space="0" w:color="auto"/>
              <w:bottom w:val="outset" w:sz="6" w:space="0" w:color="auto"/>
              <w:right w:val="outset" w:sz="6" w:space="0" w:color="auto"/>
            </w:tcBorders>
            <w:hideMark/>
          </w:tcPr>
          <w:p w:rsidR="00BE05DF" w:rsidRDefault="00D95039" w:rsidP="00E94DC7">
            <w:r>
              <w:t>Valsts un pašvaldību izglītības iestāžu</w:t>
            </w:r>
            <w:r w:rsidR="00D05342">
              <w:t xml:space="preserve"> (izņemot augstskolas un koledžas)</w:t>
            </w:r>
            <w:r>
              <w:t xml:space="preserve"> vadītāj</w:t>
            </w:r>
            <w:r w:rsidR="007C7DAD">
              <w:t>u amata pretendenti</w:t>
            </w:r>
            <w:r>
              <w:t xml:space="preserve"> un pašvaldību izglītības pārvalžu vadītāj</w:t>
            </w:r>
            <w:r w:rsidR="007C7DAD">
              <w:t>u amata pretendenti</w:t>
            </w:r>
            <w:r>
              <w:t xml:space="preserve">. </w:t>
            </w:r>
          </w:p>
          <w:p w:rsidR="00E94DC7" w:rsidRDefault="002830B7" w:rsidP="00E94DC7">
            <w:r w:rsidRPr="00193C47">
              <w:t>2013./2014</w:t>
            </w:r>
            <w:r w:rsidR="00E921E7" w:rsidRPr="00193C47">
              <w:t xml:space="preserve">.mācību gadā </w:t>
            </w:r>
            <w:r w:rsidR="00735306">
              <w:t>atbilstoši</w:t>
            </w:r>
            <w:r w:rsidR="00735306" w:rsidRPr="00193C47">
              <w:t xml:space="preserve"> </w:t>
            </w:r>
            <w:r w:rsidRPr="00193C47">
              <w:t>I</w:t>
            </w:r>
            <w:r w:rsidR="00735306">
              <w:t>zglītības un zinātnes ministrijas</w:t>
            </w:r>
            <w:r w:rsidRPr="00193C47">
              <w:t xml:space="preserve"> statistikas datiem ir 616</w:t>
            </w:r>
            <w:r w:rsidR="00E921E7" w:rsidRPr="00193C47">
              <w:t xml:space="preserve"> pirmsskolas izglītības iestādes,  832 – </w:t>
            </w:r>
            <w:r w:rsidR="00E94DC7" w:rsidRPr="00193C47">
              <w:t xml:space="preserve">vispārizglītojošās </w:t>
            </w:r>
            <w:r w:rsidR="00E921E7" w:rsidRPr="00193C47">
              <w:t xml:space="preserve"> izglītības iestā</w:t>
            </w:r>
            <w:r w:rsidR="00E94DC7" w:rsidRPr="00193C47">
              <w:t xml:space="preserve">des </w:t>
            </w:r>
            <w:r w:rsidR="00BE05DF" w:rsidRPr="00193C47">
              <w:t xml:space="preserve"> </w:t>
            </w:r>
            <w:r w:rsidR="00E921E7" w:rsidRPr="00193C47">
              <w:t>(t.sk. speciālās izglītības iestādes un vakara (maiņu) izglītības iestādes</w:t>
            </w:r>
            <w:r w:rsidR="00BE05DF" w:rsidRPr="00193C47">
              <w:t>)</w:t>
            </w:r>
            <w:r w:rsidR="00E921E7" w:rsidRPr="00193C47">
              <w:t>,</w:t>
            </w:r>
            <w:r w:rsidR="00E94DC7" w:rsidRPr="00193C47">
              <w:t xml:space="preserve"> </w:t>
            </w:r>
            <w:r w:rsidRPr="00193C47">
              <w:t>67</w:t>
            </w:r>
            <w:r w:rsidR="00E921E7" w:rsidRPr="00193C47">
              <w:t xml:space="preserve"> profesionālās</w:t>
            </w:r>
            <w:r w:rsidR="00E921E7" w:rsidRPr="009E1484">
              <w:t xml:space="preserve"> izglītības iestādes</w:t>
            </w:r>
            <w:r w:rsidR="009E1484">
              <w:t xml:space="preserve"> (t.sk. pašvaldības padotībā esošās profesionālās izglītības iestādes)</w:t>
            </w:r>
            <w:r w:rsidR="007C7DAD">
              <w:t xml:space="preserve"> kā arī</w:t>
            </w:r>
            <w:r w:rsidR="00E94DC7" w:rsidRPr="009E1484">
              <w:t xml:space="preserve"> </w:t>
            </w:r>
            <w:r w:rsidR="007C7DAD">
              <w:t xml:space="preserve">88 </w:t>
            </w:r>
            <w:r w:rsidR="00E94DC7">
              <w:t>novadu un deviņu</w:t>
            </w:r>
            <w:r w:rsidR="00E921E7" w:rsidRPr="00AF66B2">
              <w:t xml:space="preserve"> republikas pilsētu </w:t>
            </w:r>
            <w:r w:rsidR="00E94DC7">
              <w:t>izglītības pārval</w:t>
            </w:r>
            <w:r w:rsidR="00735306">
              <w:t>des</w:t>
            </w:r>
            <w:r>
              <w:t>.</w:t>
            </w:r>
          </w:p>
          <w:p w:rsidR="008E267E" w:rsidRPr="00AF66B2" w:rsidRDefault="008E267E" w:rsidP="00E94DC7"/>
        </w:tc>
      </w:tr>
      <w:tr w:rsidR="00B53406" w:rsidRPr="00AF66B2" w:rsidTr="006743DA">
        <w:trPr>
          <w:trHeight w:val="523"/>
          <w:tblCellSpacing w:w="0" w:type="dxa"/>
        </w:trPr>
        <w:tc>
          <w:tcPr>
            <w:tcW w:w="531" w:type="dxa"/>
            <w:tcBorders>
              <w:top w:val="outset" w:sz="6" w:space="0" w:color="auto"/>
              <w:left w:val="outset" w:sz="6" w:space="0" w:color="auto"/>
              <w:bottom w:val="outset" w:sz="6" w:space="0" w:color="auto"/>
              <w:right w:val="outset" w:sz="6" w:space="0" w:color="auto"/>
            </w:tcBorders>
          </w:tcPr>
          <w:p w:rsidR="00B53406" w:rsidRPr="00AF66B2" w:rsidRDefault="00B53406" w:rsidP="0014344E">
            <w:pPr>
              <w:spacing w:before="50" w:after="50"/>
            </w:pPr>
            <w:r>
              <w:t>2.</w:t>
            </w:r>
          </w:p>
        </w:tc>
        <w:tc>
          <w:tcPr>
            <w:tcW w:w="2886" w:type="dxa"/>
            <w:tcBorders>
              <w:top w:val="outset" w:sz="6" w:space="0" w:color="auto"/>
              <w:left w:val="outset" w:sz="6" w:space="0" w:color="auto"/>
              <w:bottom w:val="outset" w:sz="6" w:space="0" w:color="auto"/>
              <w:right w:val="outset" w:sz="6" w:space="0" w:color="auto"/>
            </w:tcBorders>
          </w:tcPr>
          <w:p w:rsidR="00B53406" w:rsidRPr="00AF66B2" w:rsidRDefault="00B53406" w:rsidP="002830B7">
            <w:pPr>
              <w:spacing w:before="50" w:after="50"/>
            </w:pPr>
            <w:r>
              <w:t>Tiesiskā regulējuma ietekme uz tautsaimniecību un administratīvo slogu</w:t>
            </w:r>
          </w:p>
        </w:tc>
        <w:tc>
          <w:tcPr>
            <w:tcW w:w="5973" w:type="dxa"/>
            <w:tcBorders>
              <w:top w:val="outset" w:sz="6" w:space="0" w:color="auto"/>
              <w:left w:val="outset" w:sz="6" w:space="0" w:color="auto"/>
              <w:bottom w:val="outset" w:sz="6" w:space="0" w:color="auto"/>
              <w:right w:val="outset" w:sz="6" w:space="0" w:color="auto"/>
            </w:tcBorders>
          </w:tcPr>
          <w:p w:rsidR="00B53406" w:rsidRPr="008B16DB" w:rsidRDefault="008B16DB" w:rsidP="00735306">
            <w:pPr>
              <w:spacing w:before="50" w:after="50"/>
              <w:rPr>
                <w:color w:val="414142"/>
                <w:lang w:eastAsia="lv-LV"/>
              </w:rPr>
            </w:pPr>
            <w:r w:rsidRPr="00820D5A">
              <w:rPr>
                <w:lang w:eastAsia="lv-LV"/>
              </w:rPr>
              <w:t>Projekta tiesiskais regulējums uz tautsaimniecību ietekmi neatstās. Sabiedrības grupām projekta tiesiskais regulējums nemaina tiesības un pienākumus</w:t>
            </w:r>
            <w:r w:rsidR="00735306" w:rsidRPr="00820D5A">
              <w:rPr>
                <w:lang w:eastAsia="lv-LV"/>
              </w:rPr>
              <w:t>. Izglītības iestāžu un pašvaldību izglītības pārvalžu dibinātājiem noteikumu projektā ietvertais regulējums uzliks papildu pienākumus</w:t>
            </w:r>
            <w:r w:rsidRPr="00820D5A">
              <w:rPr>
                <w:lang w:eastAsia="lv-LV"/>
              </w:rPr>
              <w:t>, kā arī veicamās darbības.</w:t>
            </w:r>
          </w:p>
        </w:tc>
      </w:tr>
      <w:tr w:rsidR="008B16DB" w:rsidRPr="00AF66B2" w:rsidTr="006743DA">
        <w:trPr>
          <w:trHeight w:val="523"/>
          <w:tblCellSpacing w:w="0" w:type="dxa"/>
        </w:trPr>
        <w:tc>
          <w:tcPr>
            <w:tcW w:w="531" w:type="dxa"/>
            <w:tcBorders>
              <w:top w:val="outset" w:sz="6" w:space="0" w:color="auto"/>
              <w:left w:val="outset" w:sz="6" w:space="0" w:color="auto"/>
              <w:bottom w:val="outset" w:sz="6" w:space="0" w:color="auto"/>
              <w:right w:val="outset" w:sz="6" w:space="0" w:color="auto"/>
            </w:tcBorders>
          </w:tcPr>
          <w:p w:rsidR="008B16DB" w:rsidRPr="00AF66B2" w:rsidRDefault="008B16DB" w:rsidP="0014344E">
            <w:pPr>
              <w:spacing w:before="50" w:after="50"/>
            </w:pPr>
            <w:r>
              <w:t>3.</w:t>
            </w:r>
          </w:p>
        </w:tc>
        <w:tc>
          <w:tcPr>
            <w:tcW w:w="2886" w:type="dxa"/>
            <w:tcBorders>
              <w:top w:val="outset" w:sz="6" w:space="0" w:color="auto"/>
              <w:left w:val="outset" w:sz="6" w:space="0" w:color="auto"/>
              <w:bottom w:val="outset" w:sz="6" w:space="0" w:color="auto"/>
              <w:right w:val="outset" w:sz="6" w:space="0" w:color="auto"/>
            </w:tcBorders>
          </w:tcPr>
          <w:p w:rsidR="008B16DB" w:rsidRPr="00AF66B2" w:rsidRDefault="008B16DB" w:rsidP="0014344E">
            <w:pPr>
              <w:spacing w:before="50" w:after="50"/>
            </w:pPr>
            <w:r>
              <w:t>Administratīvo izmaksu monetārs novērtējums</w:t>
            </w:r>
          </w:p>
        </w:tc>
        <w:tc>
          <w:tcPr>
            <w:tcW w:w="5973" w:type="dxa"/>
            <w:tcBorders>
              <w:top w:val="outset" w:sz="6" w:space="0" w:color="auto"/>
              <w:left w:val="outset" w:sz="6" w:space="0" w:color="auto"/>
              <w:bottom w:val="outset" w:sz="6" w:space="0" w:color="auto"/>
              <w:right w:val="outset" w:sz="6" w:space="0" w:color="auto"/>
            </w:tcBorders>
          </w:tcPr>
          <w:p w:rsidR="008B16DB" w:rsidRPr="00AF66B2" w:rsidRDefault="00F2046E" w:rsidP="0014344E">
            <w:pPr>
              <w:spacing w:before="50" w:after="50"/>
            </w:pPr>
            <w:r>
              <w:t>Projekts šo jomu neskar</w:t>
            </w:r>
          </w:p>
        </w:tc>
      </w:tr>
      <w:tr w:rsidR="00E921E7" w:rsidRPr="00AF66B2" w:rsidTr="006743DA">
        <w:trPr>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101A58" w:rsidRPr="00AF66B2" w:rsidRDefault="008B16DB" w:rsidP="0014344E">
            <w:pPr>
              <w:spacing w:before="50" w:after="50"/>
            </w:pPr>
            <w:r>
              <w:t> 4</w:t>
            </w:r>
            <w:r w:rsidR="00101A58" w:rsidRPr="00AF66B2">
              <w:t>.</w:t>
            </w:r>
          </w:p>
        </w:tc>
        <w:tc>
          <w:tcPr>
            <w:tcW w:w="2886"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Cita informācija</w:t>
            </w:r>
          </w:p>
        </w:tc>
        <w:tc>
          <w:tcPr>
            <w:tcW w:w="5973"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w:t>
            </w:r>
          </w:p>
          <w:p w:rsidR="00101A58" w:rsidRPr="00AF66B2" w:rsidRDefault="00101A58" w:rsidP="0014344E">
            <w:pPr>
              <w:spacing w:before="50" w:after="50"/>
            </w:pPr>
            <w:r w:rsidRPr="00AF66B2">
              <w:t>Nav</w:t>
            </w:r>
          </w:p>
        </w:tc>
      </w:tr>
    </w:tbl>
    <w:p w:rsidR="00101A58" w:rsidRPr="00AF66B2" w:rsidRDefault="00101A58" w:rsidP="00101A58">
      <w:pPr>
        <w:spacing w:before="50" w:after="50"/>
        <w:ind w:firstLine="250"/>
      </w:pPr>
      <w:r w:rsidRPr="00AF66B2">
        <w:t> </w:t>
      </w:r>
    </w:p>
    <w:p w:rsidR="00F2046E" w:rsidRDefault="00F2046E" w:rsidP="00101A58">
      <w:pPr>
        <w:spacing w:before="50" w:after="50"/>
      </w:pPr>
    </w:p>
    <w:p w:rsidR="00F2046E" w:rsidRDefault="00F2046E" w:rsidP="00101A58">
      <w:pPr>
        <w:spacing w:before="50" w:after="50"/>
      </w:pPr>
      <w:r>
        <w:t>Anotācijas III, IV un V sadaļa – projekts šīs jomas neskar</w:t>
      </w:r>
    </w:p>
    <w:p w:rsidR="00101A58" w:rsidRPr="00AF66B2" w:rsidRDefault="00101A58" w:rsidP="00101A58">
      <w:pPr>
        <w:spacing w:before="50" w:after="50"/>
      </w:pPr>
      <w:r w:rsidRPr="00AF66B2">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
        <w:gridCol w:w="2837"/>
        <w:gridCol w:w="5726"/>
      </w:tblGrid>
      <w:tr w:rsidR="00101A58" w:rsidRPr="00AF66B2" w:rsidTr="00142BA6">
        <w:trPr>
          <w:tblCellSpacing w:w="0" w:type="dxa"/>
        </w:trPr>
        <w:tc>
          <w:tcPr>
            <w:tcW w:w="9371" w:type="dxa"/>
            <w:gridSpan w:val="3"/>
            <w:tcBorders>
              <w:top w:val="outset" w:sz="6" w:space="0" w:color="auto"/>
              <w:left w:val="outset" w:sz="6" w:space="0" w:color="auto"/>
              <w:bottom w:val="outset" w:sz="6" w:space="0" w:color="auto"/>
              <w:right w:val="outset" w:sz="6" w:space="0" w:color="auto"/>
            </w:tcBorders>
            <w:hideMark/>
          </w:tcPr>
          <w:p w:rsidR="00101A58" w:rsidRPr="00AF66B2" w:rsidRDefault="00101A58" w:rsidP="00AD3B3E">
            <w:pPr>
              <w:spacing w:before="50" w:after="50"/>
              <w:jc w:val="center"/>
            </w:pPr>
            <w:r w:rsidRPr="00AF66B2">
              <w:rPr>
                <w:b/>
                <w:bCs/>
              </w:rPr>
              <w:t xml:space="preserve"> VI. Sabiedrības līdzdalība un </w:t>
            </w:r>
            <w:r w:rsidR="00AD3B3E">
              <w:rPr>
                <w:b/>
                <w:bCs/>
              </w:rPr>
              <w:t>komunikācijas aktivitātes</w:t>
            </w:r>
          </w:p>
        </w:tc>
      </w:tr>
      <w:tr w:rsidR="00E414DF" w:rsidRPr="00AF66B2" w:rsidTr="006743DA">
        <w:trPr>
          <w:trHeight w:val="553"/>
          <w:tblCellSpacing w:w="0" w:type="dxa"/>
        </w:trPr>
        <w:tc>
          <w:tcPr>
            <w:tcW w:w="506" w:type="dxa"/>
            <w:tcBorders>
              <w:top w:val="outset" w:sz="6" w:space="0" w:color="auto"/>
              <w:left w:val="outset" w:sz="6" w:space="0" w:color="auto"/>
              <w:bottom w:val="outset" w:sz="6" w:space="0" w:color="auto"/>
              <w:right w:val="outset" w:sz="6" w:space="0" w:color="auto"/>
            </w:tcBorders>
          </w:tcPr>
          <w:p w:rsidR="00E414DF" w:rsidRPr="00AF66B2" w:rsidRDefault="00E414DF" w:rsidP="0014344E">
            <w:pPr>
              <w:spacing w:before="50" w:after="50"/>
            </w:pPr>
            <w:r>
              <w:lastRenderedPageBreak/>
              <w:t>1.</w:t>
            </w:r>
          </w:p>
        </w:tc>
        <w:tc>
          <w:tcPr>
            <w:tcW w:w="2911" w:type="dxa"/>
            <w:tcBorders>
              <w:top w:val="outset" w:sz="6" w:space="0" w:color="auto"/>
              <w:left w:val="outset" w:sz="6" w:space="0" w:color="auto"/>
              <w:bottom w:val="outset" w:sz="6" w:space="0" w:color="auto"/>
              <w:right w:val="outset" w:sz="6" w:space="0" w:color="auto"/>
            </w:tcBorders>
          </w:tcPr>
          <w:p w:rsidR="00E414DF" w:rsidRPr="00AF66B2" w:rsidRDefault="00E414DF" w:rsidP="0014344E">
            <w:pPr>
              <w:spacing w:before="50" w:after="50"/>
            </w:pPr>
            <w:r>
              <w:t>Plānotās sabiedrības līdzdalības un komunikācijas aktivitātes saistībā ar projektu</w:t>
            </w:r>
          </w:p>
        </w:tc>
        <w:tc>
          <w:tcPr>
            <w:tcW w:w="5954" w:type="dxa"/>
            <w:tcBorders>
              <w:top w:val="outset" w:sz="6" w:space="0" w:color="auto"/>
              <w:left w:val="outset" w:sz="6" w:space="0" w:color="auto"/>
              <w:bottom w:val="outset" w:sz="6" w:space="0" w:color="auto"/>
              <w:right w:val="outset" w:sz="6" w:space="0" w:color="auto"/>
            </w:tcBorders>
          </w:tcPr>
          <w:p w:rsidR="00E414DF" w:rsidRPr="00AF66B2" w:rsidRDefault="00B27647" w:rsidP="00B27647">
            <w:pPr>
              <w:spacing w:before="50" w:after="50"/>
              <w:rPr>
                <w:iCs/>
              </w:rPr>
            </w:pPr>
            <w:r>
              <w:rPr>
                <w:iCs/>
              </w:rPr>
              <w:t xml:space="preserve">Pēc noteikumu </w:t>
            </w:r>
            <w:r w:rsidR="001C7DB4">
              <w:rPr>
                <w:iCs/>
              </w:rPr>
              <w:t>izslu</w:t>
            </w:r>
            <w:r>
              <w:rPr>
                <w:iCs/>
              </w:rPr>
              <w:t>dināšanas Valsts sekretāru sanāksmē noteikumu projektu vērtēt pieteicās Latvijas Lielo pilsētu asociācija (LLPA), bet noteikumu projekta veidotāji aicināja vērt</w:t>
            </w:r>
            <w:r w:rsidR="001C7DB4">
              <w:rPr>
                <w:iCs/>
              </w:rPr>
              <w:t xml:space="preserve">ējumu izteikt </w:t>
            </w:r>
            <w:r w:rsidR="00EC69F7">
              <w:rPr>
                <w:iCs/>
              </w:rPr>
              <w:t xml:space="preserve">Latvijas Izglītības vadītāju asociācijai (LIVA) un </w:t>
            </w:r>
            <w:r w:rsidR="0017278E">
              <w:rPr>
                <w:iCs/>
              </w:rPr>
              <w:t>i</w:t>
            </w:r>
            <w:r>
              <w:rPr>
                <w:iCs/>
              </w:rPr>
              <w:t xml:space="preserve">zglītības pārvalžu pārstāvjiem.  LLPA izteica daudz iebildumu, </w:t>
            </w:r>
            <w:r w:rsidR="00D115A4">
              <w:rPr>
                <w:iCs/>
              </w:rPr>
              <w:t>priekšlikumus</w:t>
            </w:r>
            <w:r>
              <w:rPr>
                <w:iCs/>
              </w:rPr>
              <w:t xml:space="preserve"> izteica ar</w:t>
            </w:r>
            <w:r w:rsidR="001C7DB4">
              <w:rPr>
                <w:iCs/>
              </w:rPr>
              <w:t xml:space="preserve">ī </w:t>
            </w:r>
            <w:r w:rsidR="00EC69F7">
              <w:rPr>
                <w:iCs/>
              </w:rPr>
              <w:t xml:space="preserve">LIVA un </w:t>
            </w:r>
            <w:r w:rsidR="0017278E">
              <w:rPr>
                <w:iCs/>
              </w:rPr>
              <w:t>i</w:t>
            </w:r>
            <w:r>
              <w:rPr>
                <w:iCs/>
              </w:rPr>
              <w:t>zglītības pārvalžu vadītāji. Iebildumi un priekšlikumi tika ņemti vērā noteikumu projekta pārstrādes gaitā</w:t>
            </w:r>
          </w:p>
        </w:tc>
      </w:tr>
      <w:tr w:rsidR="00E414DF" w:rsidRPr="00AF66B2" w:rsidTr="006743DA">
        <w:trPr>
          <w:trHeight w:val="553"/>
          <w:tblCellSpacing w:w="0" w:type="dxa"/>
        </w:trPr>
        <w:tc>
          <w:tcPr>
            <w:tcW w:w="506" w:type="dxa"/>
            <w:tcBorders>
              <w:top w:val="outset" w:sz="6" w:space="0" w:color="auto"/>
              <w:left w:val="outset" w:sz="6" w:space="0" w:color="auto"/>
              <w:bottom w:val="outset" w:sz="6" w:space="0" w:color="auto"/>
              <w:right w:val="outset" w:sz="6" w:space="0" w:color="auto"/>
            </w:tcBorders>
          </w:tcPr>
          <w:p w:rsidR="00E414DF" w:rsidRDefault="00E414DF" w:rsidP="0014344E">
            <w:pPr>
              <w:spacing w:before="50" w:after="50"/>
            </w:pPr>
            <w:r>
              <w:t>2.</w:t>
            </w:r>
          </w:p>
        </w:tc>
        <w:tc>
          <w:tcPr>
            <w:tcW w:w="2911" w:type="dxa"/>
            <w:tcBorders>
              <w:top w:val="outset" w:sz="6" w:space="0" w:color="auto"/>
              <w:left w:val="outset" w:sz="6" w:space="0" w:color="auto"/>
              <w:bottom w:val="outset" w:sz="6" w:space="0" w:color="auto"/>
              <w:right w:val="outset" w:sz="6" w:space="0" w:color="auto"/>
            </w:tcBorders>
          </w:tcPr>
          <w:p w:rsidR="00E414DF" w:rsidRDefault="00E414DF" w:rsidP="0014344E">
            <w:pPr>
              <w:spacing w:before="50" w:after="50"/>
            </w:pPr>
            <w:r>
              <w:t>Sabiedrības līdzdalības projekta izst</w:t>
            </w:r>
            <w:r w:rsidR="004D3179">
              <w:t>r</w:t>
            </w:r>
            <w:r>
              <w:t>ādē</w:t>
            </w:r>
          </w:p>
        </w:tc>
        <w:tc>
          <w:tcPr>
            <w:tcW w:w="5954" w:type="dxa"/>
            <w:tcBorders>
              <w:top w:val="outset" w:sz="6" w:space="0" w:color="auto"/>
              <w:left w:val="outset" w:sz="6" w:space="0" w:color="auto"/>
              <w:bottom w:val="outset" w:sz="6" w:space="0" w:color="auto"/>
              <w:right w:val="outset" w:sz="6" w:space="0" w:color="auto"/>
            </w:tcBorders>
          </w:tcPr>
          <w:p w:rsidR="00E414DF" w:rsidRDefault="004D3179" w:rsidP="0017278E">
            <w:pPr>
              <w:spacing w:before="50" w:after="50"/>
              <w:rPr>
                <w:iCs/>
              </w:rPr>
            </w:pPr>
            <w:r>
              <w:rPr>
                <w:iCs/>
              </w:rPr>
              <w:t xml:space="preserve">Noteikumu projekta vērtēšanā piedalījās </w:t>
            </w:r>
            <w:r w:rsidR="0017278E">
              <w:rPr>
                <w:iCs/>
              </w:rPr>
              <w:t>LLPA, LIVA,</w:t>
            </w:r>
            <w:r w:rsidR="007B5A1F">
              <w:rPr>
                <w:iCs/>
              </w:rPr>
              <w:t xml:space="preserve"> kā arī </w:t>
            </w:r>
            <w:r w:rsidR="0017278E">
              <w:rPr>
                <w:iCs/>
              </w:rPr>
              <w:t>i</w:t>
            </w:r>
            <w:r w:rsidR="007B5A1F">
              <w:rPr>
                <w:iCs/>
              </w:rPr>
              <w:t xml:space="preserve">zglītības pārvalžu vadītāju pārstāvji. </w:t>
            </w:r>
          </w:p>
        </w:tc>
      </w:tr>
      <w:tr w:rsidR="00E414DF" w:rsidRPr="00AF66B2" w:rsidTr="006743DA">
        <w:trPr>
          <w:trHeight w:val="553"/>
          <w:tblCellSpacing w:w="0" w:type="dxa"/>
        </w:trPr>
        <w:tc>
          <w:tcPr>
            <w:tcW w:w="506" w:type="dxa"/>
            <w:tcBorders>
              <w:top w:val="outset" w:sz="6" w:space="0" w:color="auto"/>
              <w:left w:val="outset" w:sz="6" w:space="0" w:color="auto"/>
              <w:bottom w:val="outset" w:sz="6" w:space="0" w:color="auto"/>
              <w:right w:val="outset" w:sz="6" w:space="0" w:color="auto"/>
            </w:tcBorders>
          </w:tcPr>
          <w:p w:rsidR="00E414DF" w:rsidRDefault="00E414DF" w:rsidP="0014344E">
            <w:pPr>
              <w:spacing w:before="50" w:after="50"/>
            </w:pPr>
            <w:r>
              <w:t>3.</w:t>
            </w:r>
          </w:p>
        </w:tc>
        <w:tc>
          <w:tcPr>
            <w:tcW w:w="2911" w:type="dxa"/>
            <w:tcBorders>
              <w:top w:val="outset" w:sz="6" w:space="0" w:color="auto"/>
              <w:left w:val="outset" w:sz="6" w:space="0" w:color="auto"/>
              <w:bottom w:val="outset" w:sz="6" w:space="0" w:color="auto"/>
              <w:right w:val="outset" w:sz="6" w:space="0" w:color="auto"/>
            </w:tcBorders>
          </w:tcPr>
          <w:p w:rsidR="00E414DF" w:rsidRDefault="00E414DF" w:rsidP="0014344E">
            <w:pPr>
              <w:spacing w:before="50" w:after="50"/>
            </w:pPr>
            <w:r>
              <w:t>Sabiedrības līdzdalības rezultāti</w:t>
            </w:r>
          </w:p>
        </w:tc>
        <w:tc>
          <w:tcPr>
            <w:tcW w:w="5954" w:type="dxa"/>
            <w:tcBorders>
              <w:top w:val="outset" w:sz="6" w:space="0" w:color="auto"/>
              <w:left w:val="outset" w:sz="6" w:space="0" w:color="auto"/>
              <w:bottom w:val="outset" w:sz="6" w:space="0" w:color="auto"/>
              <w:right w:val="outset" w:sz="6" w:space="0" w:color="auto"/>
            </w:tcBorders>
          </w:tcPr>
          <w:p w:rsidR="00E414DF" w:rsidRDefault="00EC69F7" w:rsidP="00BE05DF">
            <w:pPr>
              <w:spacing w:before="50" w:after="50"/>
              <w:rPr>
                <w:iCs/>
              </w:rPr>
            </w:pPr>
            <w:r>
              <w:rPr>
                <w:iCs/>
              </w:rPr>
              <w:t>LLPA</w:t>
            </w:r>
            <w:r w:rsidR="0017278E">
              <w:rPr>
                <w:iCs/>
              </w:rPr>
              <w:t>,</w:t>
            </w:r>
            <w:r>
              <w:rPr>
                <w:iCs/>
              </w:rPr>
              <w:t xml:space="preserve"> LIVA un </w:t>
            </w:r>
            <w:r w:rsidR="0017278E">
              <w:rPr>
                <w:iCs/>
              </w:rPr>
              <w:t>i</w:t>
            </w:r>
            <w:r w:rsidR="001C7DB4">
              <w:rPr>
                <w:iCs/>
              </w:rPr>
              <w:t>zglītības pārvalžu vadītāju pārstāvji precizēto noteikumu projektu atbalsta.</w:t>
            </w:r>
          </w:p>
        </w:tc>
      </w:tr>
      <w:tr w:rsidR="00101A58" w:rsidRPr="00AF66B2" w:rsidTr="006743DA">
        <w:trPr>
          <w:trHeight w:val="476"/>
          <w:tblCellSpacing w:w="0" w:type="dxa"/>
        </w:trPr>
        <w:tc>
          <w:tcPr>
            <w:tcW w:w="506" w:type="dxa"/>
            <w:tcBorders>
              <w:top w:val="outset" w:sz="6" w:space="0" w:color="auto"/>
              <w:left w:val="outset" w:sz="6" w:space="0" w:color="auto"/>
              <w:bottom w:val="outset" w:sz="6" w:space="0" w:color="auto"/>
              <w:right w:val="outset" w:sz="6" w:space="0" w:color="auto"/>
            </w:tcBorders>
            <w:hideMark/>
          </w:tcPr>
          <w:p w:rsidR="00101A58" w:rsidRPr="00AF66B2" w:rsidRDefault="00E414DF" w:rsidP="0014344E">
            <w:pPr>
              <w:spacing w:before="50" w:after="50"/>
            </w:pPr>
            <w:r>
              <w:t> 4</w:t>
            </w:r>
            <w:r w:rsidR="00101A58" w:rsidRPr="00AF66B2">
              <w:t>.</w:t>
            </w:r>
          </w:p>
        </w:tc>
        <w:tc>
          <w:tcPr>
            <w:tcW w:w="2911"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Cita informācija</w:t>
            </w:r>
          </w:p>
        </w:tc>
        <w:tc>
          <w:tcPr>
            <w:tcW w:w="5954"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Nav</w:t>
            </w:r>
            <w:r w:rsidR="005A4A1E">
              <w:t>.</w:t>
            </w:r>
          </w:p>
        </w:tc>
      </w:tr>
    </w:tbl>
    <w:p w:rsidR="00101A58" w:rsidRPr="00AF66B2" w:rsidRDefault="00101A58" w:rsidP="00101A58">
      <w:pPr>
        <w:spacing w:before="50" w:after="50"/>
        <w:ind w:firstLine="250"/>
      </w:pPr>
      <w:r w:rsidRPr="00AF66B2">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2827"/>
        <w:gridCol w:w="5728"/>
      </w:tblGrid>
      <w:tr w:rsidR="00101A58" w:rsidRPr="00AF66B2" w:rsidTr="0014344E">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jc w:val="center"/>
            </w:pPr>
            <w:r w:rsidRPr="00AF66B2">
              <w:rPr>
                <w:b/>
                <w:bCs/>
              </w:rPr>
              <w:t> VII. Tiesību akta projekta izpildes nodrošināšana un tās ietekme uz institūcijām</w:t>
            </w:r>
          </w:p>
        </w:tc>
      </w:tr>
      <w:tr w:rsidR="00101A58" w:rsidRPr="00AF66B2" w:rsidTr="006743DA">
        <w:trPr>
          <w:trHeight w:val="42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1.</w:t>
            </w:r>
          </w:p>
        </w:tc>
        <w:tc>
          <w:tcPr>
            <w:tcW w:w="2902"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Projekta izpildē iesaistītās institūcijas</w:t>
            </w:r>
          </w:p>
        </w:tc>
        <w:tc>
          <w:tcPr>
            <w:tcW w:w="5973" w:type="dxa"/>
            <w:tcBorders>
              <w:top w:val="outset" w:sz="6" w:space="0" w:color="auto"/>
              <w:left w:val="outset" w:sz="6" w:space="0" w:color="auto"/>
              <w:bottom w:val="outset" w:sz="6" w:space="0" w:color="auto"/>
              <w:right w:val="outset" w:sz="6" w:space="0" w:color="auto"/>
            </w:tcBorders>
            <w:hideMark/>
          </w:tcPr>
          <w:p w:rsidR="00101A58" w:rsidRPr="00AF66B2" w:rsidRDefault="00E414DF" w:rsidP="00E414DF">
            <w:pPr>
              <w:spacing w:before="50" w:after="50"/>
            </w:pPr>
            <w:r>
              <w:t>Pašvaldības un to padotībā esošās izglītības iestādes un izglītības pārvaldes, ministrijas un to padotībā esošās izglītības iestādes.</w:t>
            </w:r>
          </w:p>
        </w:tc>
      </w:tr>
      <w:tr w:rsidR="00101A58" w:rsidRPr="00AF66B2" w:rsidTr="006743DA">
        <w:trPr>
          <w:trHeight w:val="46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2.</w:t>
            </w:r>
          </w:p>
        </w:tc>
        <w:tc>
          <w:tcPr>
            <w:tcW w:w="2902" w:type="dxa"/>
            <w:tcBorders>
              <w:top w:val="outset" w:sz="6" w:space="0" w:color="auto"/>
              <w:left w:val="outset" w:sz="6" w:space="0" w:color="auto"/>
              <w:bottom w:val="outset" w:sz="6" w:space="0" w:color="auto"/>
              <w:right w:val="outset" w:sz="6" w:space="0" w:color="auto"/>
            </w:tcBorders>
            <w:hideMark/>
          </w:tcPr>
          <w:p w:rsidR="00F2046E" w:rsidRPr="00820D5A" w:rsidRDefault="00F2046E" w:rsidP="00F2046E">
            <w:pPr>
              <w:rPr>
                <w:lang w:eastAsia="lv-LV"/>
              </w:rPr>
            </w:pPr>
            <w:r w:rsidRPr="00820D5A">
              <w:rPr>
                <w:lang w:eastAsia="lv-LV"/>
              </w:rPr>
              <w:t>Projekta izpildes ietekme uz pārvaldes funkcijām un institucionālo struktūru.</w:t>
            </w:r>
          </w:p>
          <w:p w:rsidR="00101A58" w:rsidRPr="00AF66B2" w:rsidRDefault="00F2046E" w:rsidP="00F2046E">
            <w:pPr>
              <w:spacing w:before="50" w:after="50"/>
            </w:pPr>
            <w:r w:rsidRPr="00820D5A">
              <w:rPr>
                <w:lang w:eastAsia="lv-LV"/>
              </w:rPr>
              <w:t>Jaunu institūciju izveide, esošu institūciju likvidācija vai reorganizācija, to ietekme uz institūcijas cilvēkresursiem</w:t>
            </w:r>
          </w:p>
        </w:tc>
        <w:tc>
          <w:tcPr>
            <w:tcW w:w="5973" w:type="dxa"/>
            <w:tcBorders>
              <w:top w:val="outset" w:sz="6" w:space="0" w:color="auto"/>
              <w:left w:val="outset" w:sz="6" w:space="0" w:color="auto"/>
              <w:bottom w:val="outset" w:sz="6" w:space="0" w:color="auto"/>
              <w:right w:val="outset" w:sz="6" w:space="0" w:color="auto"/>
            </w:tcBorders>
            <w:hideMark/>
          </w:tcPr>
          <w:p w:rsidR="00101A58" w:rsidRPr="00AF66B2" w:rsidRDefault="00B27647" w:rsidP="0014344E">
            <w:pPr>
              <w:spacing w:before="50" w:after="50"/>
            </w:pPr>
            <w:r>
              <w:t>Ņ</w:t>
            </w:r>
            <w:r w:rsidR="00F2046E">
              <w:t xml:space="preserve">emot vērā, ka izglītības iestāžu un izglītības pārvalžu vadītāju pieņemšana darbā līdz šim notika konkursa kārtībā, noteikumu projekta regulējums neatstāj ietekmi uz institūciju cilvēkresursiem un jaunas institūcijas </w:t>
            </w:r>
            <w:r>
              <w:t>nav nepieciešams veidot.</w:t>
            </w:r>
          </w:p>
        </w:tc>
      </w:tr>
      <w:tr w:rsidR="00101A58" w:rsidRPr="00AF66B2" w:rsidTr="006743DA">
        <w:trPr>
          <w:trHeight w:val="476"/>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6.</w:t>
            </w:r>
          </w:p>
        </w:tc>
        <w:tc>
          <w:tcPr>
            <w:tcW w:w="2902"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Cita informācija</w:t>
            </w:r>
          </w:p>
        </w:tc>
        <w:tc>
          <w:tcPr>
            <w:tcW w:w="5973" w:type="dxa"/>
            <w:tcBorders>
              <w:top w:val="outset" w:sz="6" w:space="0" w:color="auto"/>
              <w:left w:val="outset" w:sz="6" w:space="0" w:color="auto"/>
              <w:bottom w:val="outset" w:sz="6" w:space="0" w:color="auto"/>
              <w:right w:val="outset" w:sz="6" w:space="0" w:color="auto"/>
            </w:tcBorders>
            <w:hideMark/>
          </w:tcPr>
          <w:p w:rsidR="00101A58" w:rsidRPr="00AF66B2" w:rsidRDefault="00101A58" w:rsidP="0014344E">
            <w:pPr>
              <w:spacing w:before="50" w:after="50"/>
            </w:pPr>
            <w:r w:rsidRPr="00AF66B2">
              <w:t> Nav.</w:t>
            </w:r>
          </w:p>
        </w:tc>
      </w:tr>
    </w:tbl>
    <w:p w:rsidR="00101A58" w:rsidRPr="00AF66B2" w:rsidRDefault="00101A58" w:rsidP="00101A58">
      <w:pPr>
        <w:spacing w:before="50" w:after="50"/>
      </w:pPr>
    </w:p>
    <w:p w:rsidR="00101A58" w:rsidRDefault="00101A58" w:rsidP="00101A58">
      <w:pPr>
        <w:spacing w:before="50" w:after="50"/>
      </w:pPr>
    </w:p>
    <w:p w:rsidR="00101A58" w:rsidRPr="00AF66B2" w:rsidRDefault="00101A58" w:rsidP="00101A58">
      <w:pPr>
        <w:spacing w:before="50" w:after="50"/>
      </w:pPr>
    </w:p>
    <w:p w:rsidR="00101A58" w:rsidRPr="009F41D5" w:rsidRDefault="00101A58" w:rsidP="00101A58">
      <w:pPr>
        <w:rPr>
          <w:szCs w:val="28"/>
        </w:rPr>
      </w:pPr>
      <w:r>
        <w:rPr>
          <w:szCs w:val="28"/>
        </w:rPr>
        <w:tab/>
        <w:t xml:space="preserve">Izglītības un </w:t>
      </w:r>
      <w:r w:rsidR="00E414DF">
        <w:rPr>
          <w:szCs w:val="28"/>
        </w:rPr>
        <w:t>zinātnes ministre</w:t>
      </w:r>
      <w:r w:rsidR="00D348F2">
        <w:rPr>
          <w:szCs w:val="28"/>
        </w:rPr>
        <w:tab/>
      </w:r>
      <w:r w:rsidR="00D348F2">
        <w:rPr>
          <w:szCs w:val="28"/>
        </w:rPr>
        <w:tab/>
      </w:r>
      <w:r w:rsidR="00D348F2">
        <w:rPr>
          <w:szCs w:val="28"/>
        </w:rPr>
        <w:tab/>
      </w:r>
      <w:r w:rsidR="00D348F2">
        <w:rPr>
          <w:szCs w:val="28"/>
        </w:rPr>
        <w:tab/>
      </w:r>
      <w:r w:rsidR="00D348F2">
        <w:rPr>
          <w:szCs w:val="28"/>
        </w:rPr>
        <w:tab/>
      </w:r>
      <w:r w:rsidR="00E414DF">
        <w:rPr>
          <w:szCs w:val="28"/>
        </w:rPr>
        <w:t>I.Druviete</w:t>
      </w:r>
    </w:p>
    <w:p w:rsidR="00101A58" w:rsidRPr="009F41D5" w:rsidRDefault="00101A58" w:rsidP="00101A58">
      <w:pPr>
        <w:rPr>
          <w:szCs w:val="28"/>
        </w:rPr>
      </w:pPr>
      <w:r w:rsidRPr="009F41D5">
        <w:rPr>
          <w:szCs w:val="28"/>
        </w:rPr>
        <w:tab/>
      </w:r>
      <w:r w:rsidRPr="009F41D5">
        <w:rPr>
          <w:szCs w:val="28"/>
        </w:rPr>
        <w:tab/>
      </w:r>
      <w:r w:rsidRPr="009F41D5">
        <w:rPr>
          <w:szCs w:val="28"/>
        </w:rPr>
        <w:tab/>
      </w:r>
      <w:r w:rsidRPr="009F41D5">
        <w:rPr>
          <w:szCs w:val="28"/>
        </w:rPr>
        <w:tab/>
      </w:r>
      <w:r w:rsidRPr="009F41D5">
        <w:rPr>
          <w:szCs w:val="28"/>
        </w:rPr>
        <w:tab/>
      </w:r>
      <w:r>
        <w:rPr>
          <w:szCs w:val="28"/>
        </w:rPr>
        <w:tab/>
      </w:r>
    </w:p>
    <w:p w:rsidR="00101A58" w:rsidRPr="00AF66B2" w:rsidRDefault="00101A58" w:rsidP="00101A58">
      <w:pPr>
        <w:keepNext/>
        <w:rPr>
          <w:sz w:val="22"/>
        </w:rPr>
      </w:pPr>
    </w:p>
    <w:p w:rsidR="00101A58" w:rsidRPr="00AF66B2" w:rsidRDefault="00101A58" w:rsidP="001C0ED1">
      <w:pPr>
        <w:keepNext/>
        <w:rPr>
          <w:sz w:val="22"/>
        </w:rPr>
      </w:pPr>
    </w:p>
    <w:p w:rsidR="00101A58" w:rsidRPr="001C0ED1" w:rsidRDefault="00D348F2" w:rsidP="001C0ED1">
      <w:pPr>
        <w:ind w:firstLine="720"/>
      </w:pPr>
      <w:r>
        <w:t>Valsts sekretāre</w:t>
      </w:r>
      <w:r>
        <w:tab/>
      </w:r>
      <w:r>
        <w:tab/>
      </w:r>
      <w:r>
        <w:tab/>
      </w:r>
      <w:r>
        <w:tab/>
      </w:r>
      <w:r>
        <w:tab/>
      </w:r>
      <w:r>
        <w:tab/>
      </w:r>
      <w:r w:rsidR="00E414DF">
        <w:tab/>
      </w:r>
      <w:r w:rsidR="001C0ED1">
        <w:t>S.Liepiņa</w:t>
      </w:r>
    </w:p>
    <w:p w:rsidR="006743DA" w:rsidRDefault="006743DA" w:rsidP="006743DA">
      <w:pPr>
        <w:rPr>
          <w:sz w:val="20"/>
          <w:szCs w:val="20"/>
        </w:rPr>
      </w:pPr>
    </w:p>
    <w:p w:rsidR="006743DA" w:rsidRDefault="006743DA" w:rsidP="006743DA">
      <w:pPr>
        <w:rPr>
          <w:sz w:val="20"/>
          <w:szCs w:val="20"/>
        </w:rPr>
      </w:pPr>
    </w:p>
    <w:p w:rsidR="006743DA" w:rsidRDefault="006743DA" w:rsidP="006743DA">
      <w:pPr>
        <w:rPr>
          <w:sz w:val="20"/>
          <w:szCs w:val="20"/>
        </w:rPr>
      </w:pPr>
    </w:p>
    <w:p w:rsidR="006743DA" w:rsidRDefault="006743DA" w:rsidP="006743DA">
      <w:pPr>
        <w:rPr>
          <w:sz w:val="20"/>
          <w:szCs w:val="20"/>
        </w:rPr>
      </w:pPr>
    </w:p>
    <w:p w:rsidR="00101A58" w:rsidRPr="00AF66B2" w:rsidRDefault="003C3B2D" w:rsidP="006743DA">
      <w:pPr>
        <w:rPr>
          <w:sz w:val="20"/>
          <w:szCs w:val="20"/>
        </w:rPr>
      </w:pPr>
      <w:r>
        <w:rPr>
          <w:sz w:val="20"/>
          <w:szCs w:val="20"/>
        </w:rPr>
        <w:t>09.07.</w:t>
      </w:r>
      <w:r w:rsidR="00E414DF">
        <w:rPr>
          <w:sz w:val="20"/>
          <w:szCs w:val="20"/>
        </w:rPr>
        <w:t>.2014.</w:t>
      </w:r>
      <w:r w:rsidR="00016F63">
        <w:rPr>
          <w:sz w:val="20"/>
          <w:szCs w:val="20"/>
        </w:rPr>
        <w:t xml:space="preserve">  12:20</w:t>
      </w:r>
    </w:p>
    <w:p w:rsidR="000A3CC5" w:rsidRPr="00AF66B2" w:rsidRDefault="00016F63" w:rsidP="006743DA">
      <w:pPr>
        <w:rPr>
          <w:sz w:val="20"/>
          <w:szCs w:val="20"/>
        </w:rPr>
      </w:pPr>
      <w:r>
        <w:rPr>
          <w:sz w:val="20"/>
          <w:szCs w:val="20"/>
        </w:rPr>
        <w:t>7</w:t>
      </w:r>
      <w:r w:rsidR="003C3B2D">
        <w:rPr>
          <w:sz w:val="20"/>
          <w:szCs w:val="20"/>
        </w:rPr>
        <w:t>30</w:t>
      </w:r>
    </w:p>
    <w:p w:rsidR="006743DA" w:rsidRDefault="006743DA" w:rsidP="00973D10">
      <w:pPr>
        <w:rPr>
          <w:sz w:val="20"/>
          <w:szCs w:val="20"/>
        </w:rPr>
      </w:pPr>
      <w:r>
        <w:rPr>
          <w:sz w:val="20"/>
          <w:szCs w:val="20"/>
        </w:rPr>
        <w:t>A.Opincāns 67407947</w:t>
      </w:r>
    </w:p>
    <w:p w:rsidR="00190B37" w:rsidRPr="00710CEB" w:rsidRDefault="006743DA" w:rsidP="00016F63">
      <w:pPr>
        <w:rPr>
          <w:sz w:val="20"/>
          <w:szCs w:val="20"/>
        </w:rPr>
      </w:pPr>
      <w:r w:rsidRPr="00016F63">
        <w:rPr>
          <w:sz w:val="20"/>
          <w:szCs w:val="20"/>
        </w:rPr>
        <w:t>aivars.opincans@izm.gov.lv</w:t>
      </w:r>
    </w:p>
    <w:sectPr w:rsidR="00190B37" w:rsidRPr="00710CEB" w:rsidSect="00820D5A">
      <w:headerReference w:type="default" r:id="rId9"/>
      <w:footerReference w:type="default" r:id="rId10"/>
      <w:footerReference w:type="firs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33" w:rsidRDefault="00082033" w:rsidP="004F7F51">
      <w:r>
        <w:separator/>
      </w:r>
    </w:p>
  </w:endnote>
  <w:endnote w:type="continuationSeparator" w:id="0">
    <w:p w:rsidR="00082033" w:rsidRDefault="00082033"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E" w:rsidRPr="004F7F51" w:rsidRDefault="004F7F51" w:rsidP="004F7F51">
    <w:pPr>
      <w:pStyle w:val="naisnod"/>
      <w:spacing w:before="0" w:beforeAutospacing="0" w:after="0" w:afterAutospacing="0"/>
      <w:jc w:val="both"/>
      <w:rPr>
        <w:b w:val="0"/>
        <w:sz w:val="20"/>
        <w:szCs w:val="20"/>
      </w:rPr>
    </w:pPr>
    <w:r w:rsidRPr="004F7F51">
      <w:rPr>
        <w:b w:val="0"/>
        <w:sz w:val="20"/>
        <w:szCs w:val="20"/>
      </w:rPr>
      <w:t>IZMAnot_</w:t>
    </w:r>
    <w:r w:rsidR="003C3B2D">
      <w:rPr>
        <w:b w:val="0"/>
        <w:sz w:val="20"/>
        <w:szCs w:val="20"/>
      </w:rPr>
      <w:t>0907</w:t>
    </w:r>
    <w:r w:rsidR="006743DA">
      <w:rPr>
        <w:b w:val="0"/>
        <w:sz w:val="20"/>
        <w:szCs w:val="20"/>
      </w:rPr>
      <w:t>14</w:t>
    </w:r>
    <w:r w:rsidRPr="004F7F51">
      <w:rPr>
        <w:b w:val="0"/>
        <w:sz w:val="20"/>
        <w:szCs w:val="20"/>
      </w:rPr>
      <w:t>_vaditaji; Ministru kabineta noteikumu projekta „</w:t>
    </w:r>
    <w:r w:rsidRPr="004F7F51">
      <w:rPr>
        <w:rFonts w:eastAsia="Times New Roman"/>
        <w:b w:val="0"/>
        <w:sz w:val="20"/>
        <w:szCs w:val="20"/>
        <w:lang w:eastAsia="lv-LV"/>
      </w:rPr>
      <w:t xml:space="preserve">Kārtība un vērtēšanas nosacījumi valsts un pašvaldību izglītības iestāžu (izņemot augstskolas un koledžas) vadītāju un pašvaldību izglītības pārvalžu vadītāju amatu pretendentu atlasei” </w:t>
    </w:r>
    <w:r w:rsidRPr="004F7F51">
      <w:rPr>
        <w:b w:val="0"/>
        <w:sz w:val="20"/>
        <w:szCs w:val="20"/>
      </w:rPr>
      <w:t>sākotnējās ietekmes n</w:t>
    </w:r>
    <w:r w:rsidR="006743DA">
      <w:rPr>
        <w:b w:val="0"/>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95" w:rsidRPr="004F7F51" w:rsidRDefault="00C02098" w:rsidP="004F7F51">
    <w:pPr>
      <w:pStyle w:val="naisnod"/>
      <w:spacing w:before="0" w:beforeAutospacing="0" w:after="0" w:afterAutospacing="0"/>
      <w:jc w:val="both"/>
      <w:rPr>
        <w:b w:val="0"/>
        <w:sz w:val="20"/>
        <w:szCs w:val="20"/>
      </w:rPr>
    </w:pPr>
    <w:r>
      <w:rPr>
        <w:b w:val="0"/>
        <w:sz w:val="20"/>
        <w:szCs w:val="20"/>
      </w:rPr>
      <w:t>IZMAno</w:t>
    </w:r>
    <w:r w:rsidR="006743DA">
      <w:rPr>
        <w:b w:val="0"/>
        <w:sz w:val="20"/>
        <w:szCs w:val="20"/>
      </w:rPr>
      <w:t>t_</w:t>
    </w:r>
    <w:r w:rsidR="003C3B2D">
      <w:rPr>
        <w:b w:val="0"/>
        <w:sz w:val="20"/>
        <w:szCs w:val="20"/>
      </w:rPr>
      <w:t>0907</w:t>
    </w:r>
    <w:r w:rsidR="006743DA">
      <w:rPr>
        <w:b w:val="0"/>
        <w:sz w:val="20"/>
        <w:szCs w:val="20"/>
      </w:rPr>
      <w:t>14</w:t>
    </w:r>
    <w:r w:rsidR="004F7F51" w:rsidRPr="004F7F51">
      <w:rPr>
        <w:b w:val="0"/>
        <w:sz w:val="20"/>
        <w:szCs w:val="20"/>
      </w:rPr>
      <w:t>_vaditaji; Ministru kabineta noteikumu projekta „</w:t>
    </w:r>
    <w:r w:rsidR="004F7F51" w:rsidRPr="004F7F51">
      <w:rPr>
        <w:rFonts w:eastAsia="Times New Roman"/>
        <w:b w:val="0"/>
        <w:sz w:val="20"/>
        <w:szCs w:val="20"/>
        <w:lang w:eastAsia="lv-LV"/>
      </w:rPr>
      <w:t xml:space="preserve">Kārtība un vērtēšanas nosacījumi valsts un pašvaldību izglītības iestāžu (izņemot augstskolas un koledžas) vadītāju un pašvaldību izglītības pārvalžu vadītāju amatu pretendentu atlasei” </w:t>
    </w:r>
    <w:r w:rsidR="00701263" w:rsidRPr="004F7F51">
      <w:rPr>
        <w:b w:val="0"/>
        <w:sz w:val="20"/>
        <w:szCs w:val="20"/>
      </w:rPr>
      <w:t>sākotnējās ietekmes n</w:t>
    </w:r>
    <w:r w:rsidR="006743DA">
      <w:rPr>
        <w:b w:val="0"/>
        <w:sz w:val="20"/>
        <w:szCs w:val="20"/>
      </w:rPr>
      <w:t>ovērtējuma ziņojums (anotācija)</w:t>
    </w:r>
  </w:p>
  <w:p w:rsidR="00F87FBE" w:rsidRPr="00C74CD1" w:rsidRDefault="0008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33" w:rsidRDefault="00082033" w:rsidP="004F7F51">
      <w:r>
        <w:separator/>
      </w:r>
    </w:p>
  </w:footnote>
  <w:footnote w:type="continuationSeparator" w:id="0">
    <w:p w:rsidR="00082033" w:rsidRDefault="00082033"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E" w:rsidRDefault="00A5193B">
    <w:pPr>
      <w:pStyle w:val="Header"/>
      <w:jc w:val="center"/>
    </w:pPr>
    <w:r>
      <w:fldChar w:fldCharType="begin"/>
    </w:r>
    <w:r w:rsidR="00701263">
      <w:instrText xml:space="preserve"> PAGE   \* MERGEFORMAT </w:instrText>
    </w:r>
    <w:r>
      <w:fldChar w:fldCharType="separate"/>
    </w:r>
    <w:r w:rsidR="00467C8B">
      <w:rPr>
        <w:noProof/>
      </w:rPr>
      <w:t>3</w:t>
    </w:r>
    <w:r>
      <w:fldChar w:fldCharType="end"/>
    </w:r>
  </w:p>
  <w:p w:rsidR="00F87FBE" w:rsidRDefault="00082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58"/>
    <w:rsid w:val="00015F36"/>
    <w:rsid w:val="00016F63"/>
    <w:rsid w:val="00050751"/>
    <w:rsid w:val="00082033"/>
    <w:rsid w:val="000833D5"/>
    <w:rsid w:val="000A3CC5"/>
    <w:rsid w:val="000B6B88"/>
    <w:rsid w:val="000D175D"/>
    <w:rsid w:val="00101A58"/>
    <w:rsid w:val="001176D3"/>
    <w:rsid w:val="00122BA3"/>
    <w:rsid w:val="001247D7"/>
    <w:rsid w:val="00127A12"/>
    <w:rsid w:val="00142BA6"/>
    <w:rsid w:val="00153210"/>
    <w:rsid w:val="00153C21"/>
    <w:rsid w:val="00164817"/>
    <w:rsid w:val="0017278E"/>
    <w:rsid w:val="00185DFB"/>
    <w:rsid w:val="00190B37"/>
    <w:rsid w:val="00193C47"/>
    <w:rsid w:val="001C0ED1"/>
    <w:rsid w:val="001C2808"/>
    <w:rsid w:val="001C7DB4"/>
    <w:rsid w:val="001D362D"/>
    <w:rsid w:val="001D548F"/>
    <w:rsid w:val="001E2088"/>
    <w:rsid w:val="002106BB"/>
    <w:rsid w:val="002830B7"/>
    <w:rsid w:val="002B46A9"/>
    <w:rsid w:val="002E4D33"/>
    <w:rsid w:val="002F0442"/>
    <w:rsid w:val="00323496"/>
    <w:rsid w:val="0032415A"/>
    <w:rsid w:val="00341307"/>
    <w:rsid w:val="00354648"/>
    <w:rsid w:val="00385CD0"/>
    <w:rsid w:val="003C3B2D"/>
    <w:rsid w:val="003C7B47"/>
    <w:rsid w:val="003D347B"/>
    <w:rsid w:val="003D6B74"/>
    <w:rsid w:val="003E215D"/>
    <w:rsid w:val="003F3DF1"/>
    <w:rsid w:val="00400979"/>
    <w:rsid w:val="00416ACC"/>
    <w:rsid w:val="004313B3"/>
    <w:rsid w:val="00467C8B"/>
    <w:rsid w:val="004A3955"/>
    <w:rsid w:val="004A53FF"/>
    <w:rsid w:val="004D3179"/>
    <w:rsid w:val="004D5DDD"/>
    <w:rsid w:val="004F7F51"/>
    <w:rsid w:val="00514D1C"/>
    <w:rsid w:val="00574486"/>
    <w:rsid w:val="0059390A"/>
    <w:rsid w:val="005A10BA"/>
    <w:rsid w:val="005A4A1E"/>
    <w:rsid w:val="005D06BB"/>
    <w:rsid w:val="0060386E"/>
    <w:rsid w:val="00626FDE"/>
    <w:rsid w:val="006604B1"/>
    <w:rsid w:val="006743DA"/>
    <w:rsid w:val="006A5D90"/>
    <w:rsid w:val="00701263"/>
    <w:rsid w:val="007016EF"/>
    <w:rsid w:val="00710CEB"/>
    <w:rsid w:val="00731534"/>
    <w:rsid w:val="00735306"/>
    <w:rsid w:val="007441F1"/>
    <w:rsid w:val="00784D7D"/>
    <w:rsid w:val="00792A93"/>
    <w:rsid w:val="007972F9"/>
    <w:rsid w:val="007A54DC"/>
    <w:rsid w:val="007B5A1F"/>
    <w:rsid w:val="007C2E0F"/>
    <w:rsid w:val="007C7DAD"/>
    <w:rsid w:val="00820D5A"/>
    <w:rsid w:val="008415FD"/>
    <w:rsid w:val="008423AC"/>
    <w:rsid w:val="0087283D"/>
    <w:rsid w:val="00875203"/>
    <w:rsid w:val="008B16DB"/>
    <w:rsid w:val="008D202A"/>
    <w:rsid w:val="008D511A"/>
    <w:rsid w:val="008E267E"/>
    <w:rsid w:val="008F7F70"/>
    <w:rsid w:val="00900DD6"/>
    <w:rsid w:val="009069A1"/>
    <w:rsid w:val="00920C1A"/>
    <w:rsid w:val="00924467"/>
    <w:rsid w:val="00925D09"/>
    <w:rsid w:val="00944A84"/>
    <w:rsid w:val="0094569C"/>
    <w:rsid w:val="00946A63"/>
    <w:rsid w:val="00953402"/>
    <w:rsid w:val="0096061B"/>
    <w:rsid w:val="00973D10"/>
    <w:rsid w:val="009767FB"/>
    <w:rsid w:val="00982928"/>
    <w:rsid w:val="00985847"/>
    <w:rsid w:val="009A0928"/>
    <w:rsid w:val="009A0B83"/>
    <w:rsid w:val="009B58A0"/>
    <w:rsid w:val="009C4A2D"/>
    <w:rsid w:val="009E1484"/>
    <w:rsid w:val="00A22F62"/>
    <w:rsid w:val="00A5193B"/>
    <w:rsid w:val="00A71576"/>
    <w:rsid w:val="00AB2F68"/>
    <w:rsid w:val="00AD3B3E"/>
    <w:rsid w:val="00B15855"/>
    <w:rsid w:val="00B17B44"/>
    <w:rsid w:val="00B27647"/>
    <w:rsid w:val="00B53406"/>
    <w:rsid w:val="00B614D3"/>
    <w:rsid w:val="00BE05DF"/>
    <w:rsid w:val="00BE74F2"/>
    <w:rsid w:val="00C02098"/>
    <w:rsid w:val="00C036EE"/>
    <w:rsid w:val="00C135E1"/>
    <w:rsid w:val="00C23C32"/>
    <w:rsid w:val="00C60A24"/>
    <w:rsid w:val="00CA6AC4"/>
    <w:rsid w:val="00CB0B85"/>
    <w:rsid w:val="00D05342"/>
    <w:rsid w:val="00D115A4"/>
    <w:rsid w:val="00D3186B"/>
    <w:rsid w:val="00D348F2"/>
    <w:rsid w:val="00D37A33"/>
    <w:rsid w:val="00D44D90"/>
    <w:rsid w:val="00D66D70"/>
    <w:rsid w:val="00D67E6B"/>
    <w:rsid w:val="00D95039"/>
    <w:rsid w:val="00DA2A93"/>
    <w:rsid w:val="00DA6AB4"/>
    <w:rsid w:val="00DB6136"/>
    <w:rsid w:val="00DF0A16"/>
    <w:rsid w:val="00E160F8"/>
    <w:rsid w:val="00E34CBE"/>
    <w:rsid w:val="00E414DF"/>
    <w:rsid w:val="00E454CB"/>
    <w:rsid w:val="00E600CD"/>
    <w:rsid w:val="00E76BB3"/>
    <w:rsid w:val="00E921E7"/>
    <w:rsid w:val="00E94DC7"/>
    <w:rsid w:val="00EA6BD2"/>
    <w:rsid w:val="00EC69F7"/>
    <w:rsid w:val="00EF07B3"/>
    <w:rsid w:val="00F102C2"/>
    <w:rsid w:val="00F2046E"/>
    <w:rsid w:val="00F90D21"/>
    <w:rsid w:val="00FB4F4D"/>
    <w:rsid w:val="00FD238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58"/>
    <w:pPr>
      <w:spacing w:after="0" w:line="240" w:lineRule="auto"/>
      <w:jc w:val="both"/>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basedOn w:val="DefaultParagraphFont"/>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basedOn w:val="DefaultParagraphFont"/>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06"/>
    <w:rPr>
      <w:rFonts w:ascii="Segoe UI" w:eastAsia="Times New Roman"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58"/>
    <w:pPr>
      <w:spacing w:after="0" w:line="240" w:lineRule="auto"/>
      <w:jc w:val="both"/>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basedOn w:val="DefaultParagraphFont"/>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basedOn w:val="DefaultParagraphFont"/>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06"/>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00DA-6E53-4A6E-8711-27C2AE20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4011</Words>
  <Characters>2287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un vērtēšanas nosacījumi valsts un pašvaldību izglītības iestāžu (izņemot augstskolas un koledžas) vadītāju un pašvaldību izglītības pārvalžu vadītāju amatu pretendentu atlasei” sākotnējās ietekmes  novērtējuma ziņojums (anotācija)</dc:title>
  <dc:subject>Anotacija_vaditaji</dc:subject>
  <dc:creator>IZM</dc:creator>
  <dc:description>ruta.reine@izm.gov.lv
67047958</dc:description>
  <cp:lastModifiedBy>Laimdota Adlere</cp:lastModifiedBy>
  <cp:revision>4</cp:revision>
  <cp:lastPrinted>2014-05-19T04:57:00Z</cp:lastPrinted>
  <dcterms:created xsi:type="dcterms:W3CDTF">2014-07-17T07:47:00Z</dcterms:created>
  <dcterms:modified xsi:type="dcterms:W3CDTF">2014-07-17T07:47:00Z</dcterms:modified>
</cp:coreProperties>
</file>